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CE149C" w:rsidRPr="001D6AED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br/>
        <w:t>Приказом Минобрнауки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 xml:space="preserve">Создание РМЦ и МОЦ является одним из мероприятий в рамках внедрения </w:t>
      </w:r>
      <w:r w:rsidRPr="001D6AED">
        <w:rPr>
          <w:rFonts w:ascii="Times New Roman" w:hAnsi="Times New Roman" w:cs="Times New Roman"/>
          <w:sz w:val="28"/>
          <w:szCs w:val="28"/>
        </w:rPr>
        <w:lastRenderedPageBreak/>
        <w:t>целевой модели развития региональных систем дополнительного образования детей.</w:t>
      </w:r>
    </w:p>
    <w:p w:rsidR="007D60C1" w:rsidRDefault="007D60C1"/>
    <w:sectPr w:rsidR="007D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C1"/>
    <w:rsid w:val="00091315"/>
    <w:rsid w:val="007D60C1"/>
    <w:rsid w:val="00C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2020-09-10T06:56:00Z</dcterms:created>
  <dcterms:modified xsi:type="dcterms:W3CDTF">2020-09-10T06:56:00Z</dcterms:modified>
</cp:coreProperties>
</file>